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E48C5" w14:textId="77777777" w:rsidR="004C44D1" w:rsidRPr="002B5E32" w:rsidRDefault="0040210B" w:rsidP="004C44D1">
      <w:pPr>
        <w:jc w:val="center"/>
        <w:rPr>
          <w:rFonts w:ascii="Arial" w:hAnsi="Arial" w:cs="Arial"/>
          <w:b/>
          <w:sz w:val="24"/>
          <w:szCs w:val="24"/>
        </w:rPr>
      </w:pPr>
      <w:r w:rsidRPr="002B5E32">
        <w:rPr>
          <w:rFonts w:ascii="Arial" w:hAnsi="Arial" w:cs="Arial"/>
          <w:b/>
          <w:sz w:val="24"/>
          <w:szCs w:val="24"/>
        </w:rPr>
        <w:t xml:space="preserve">Application for </w:t>
      </w:r>
      <w:r w:rsidR="004827D3" w:rsidRPr="002B5E32">
        <w:rPr>
          <w:rFonts w:ascii="Arial" w:hAnsi="Arial" w:cs="Arial"/>
          <w:b/>
          <w:sz w:val="24"/>
          <w:szCs w:val="24"/>
        </w:rPr>
        <w:t>NIST Uncertainty Analysis Student Award</w:t>
      </w:r>
    </w:p>
    <w:p w14:paraId="66EA739F" w14:textId="767FF620" w:rsidR="004827D3" w:rsidRPr="002B5E32" w:rsidRDefault="0040210B" w:rsidP="004C44D1">
      <w:pPr>
        <w:jc w:val="center"/>
        <w:rPr>
          <w:rFonts w:ascii="Arial" w:hAnsi="Arial" w:cs="Arial"/>
          <w:b/>
          <w:sz w:val="24"/>
          <w:szCs w:val="24"/>
        </w:rPr>
      </w:pPr>
      <w:r w:rsidRPr="002B5E32">
        <w:rPr>
          <w:rFonts w:ascii="Arial" w:hAnsi="Arial" w:cs="Arial"/>
          <w:b/>
          <w:sz w:val="24"/>
          <w:szCs w:val="24"/>
        </w:rPr>
        <w:t>Ele</w:t>
      </w:r>
      <w:r w:rsidR="003951C2">
        <w:rPr>
          <w:rFonts w:ascii="Arial" w:hAnsi="Arial" w:cs="Arial"/>
          <w:b/>
          <w:sz w:val="24"/>
          <w:szCs w:val="24"/>
        </w:rPr>
        <w:t>ctronic Materials Conference 2020</w:t>
      </w:r>
      <w:bookmarkStart w:id="0" w:name="_GoBack"/>
      <w:bookmarkEnd w:id="0"/>
    </w:p>
    <w:p w14:paraId="4B629498" w14:textId="77777777" w:rsidR="0040210B" w:rsidRPr="002B5E32" w:rsidRDefault="0040210B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Name:  </w:t>
      </w:r>
      <w:r w:rsidR="005E5DC0" w:rsidRPr="002B5E32">
        <w:rPr>
          <w:rFonts w:ascii="Arial" w:hAnsi="Arial" w:cs="Arial"/>
          <w:sz w:val="24"/>
          <w:szCs w:val="24"/>
        </w:rPr>
        <w:t>Jane Doe</w:t>
      </w:r>
    </w:p>
    <w:p w14:paraId="1FEB7266" w14:textId="77777777" w:rsidR="0040210B" w:rsidRPr="002B5E32" w:rsidRDefault="0040210B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Mailing Address: </w:t>
      </w:r>
      <w:r w:rsidRPr="002B5E32">
        <w:rPr>
          <w:rFonts w:ascii="Arial" w:hAnsi="Arial" w:cs="Arial"/>
          <w:sz w:val="24"/>
          <w:szCs w:val="24"/>
        </w:rPr>
        <w:tab/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 xml:space="preserve"> University, Campus Box 555 </w:t>
      </w:r>
    </w:p>
    <w:p w14:paraId="26906B1A" w14:textId="77777777" w:rsidR="0040210B" w:rsidRPr="002B5E32" w:rsidRDefault="008B2B6C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 (school address preferred)</w:t>
      </w:r>
      <w:r w:rsidRPr="002B5E32">
        <w:rPr>
          <w:rFonts w:ascii="Arial" w:hAnsi="Arial" w:cs="Arial"/>
          <w:sz w:val="24"/>
          <w:szCs w:val="24"/>
        </w:rPr>
        <w:tab/>
      </w:r>
      <w:r w:rsidR="005E5DC0" w:rsidRPr="002B5E32">
        <w:rPr>
          <w:rFonts w:ascii="Arial" w:hAnsi="Arial" w:cs="Arial"/>
          <w:sz w:val="24"/>
          <w:szCs w:val="24"/>
        </w:rPr>
        <w:t>Springfield, NY 99999</w:t>
      </w:r>
      <w:r w:rsidR="0040210B" w:rsidRPr="002B5E32">
        <w:rPr>
          <w:rFonts w:ascii="Arial" w:hAnsi="Arial" w:cs="Arial"/>
          <w:sz w:val="24"/>
          <w:szCs w:val="24"/>
        </w:rPr>
        <w:t>_______________________</w:t>
      </w:r>
    </w:p>
    <w:p w14:paraId="0D699931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Student email address:  </w:t>
      </w:r>
      <w:r w:rsidR="005E5DC0" w:rsidRPr="002B5E32">
        <w:rPr>
          <w:rFonts w:ascii="Arial" w:hAnsi="Arial" w:cs="Arial"/>
          <w:sz w:val="24"/>
          <w:szCs w:val="24"/>
        </w:rPr>
        <w:t>jane.doe@</w:t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>.edu</w:t>
      </w:r>
      <w:r w:rsidRPr="002B5E32">
        <w:rPr>
          <w:rFonts w:ascii="Arial" w:hAnsi="Arial" w:cs="Arial"/>
          <w:sz w:val="24"/>
          <w:szCs w:val="24"/>
        </w:rPr>
        <w:t>______________________________</w:t>
      </w:r>
    </w:p>
    <w:p w14:paraId="2726B0FD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 xml:space="preserve">r Name:  </w:t>
      </w:r>
      <w:r w:rsidR="005E5DC0" w:rsidRPr="002B5E32">
        <w:rPr>
          <w:rFonts w:ascii="Arial" w:hAnsi="Arial" w:cs="Arial"/>
          <w:sz w:val="24"/>
          <w:szCs w:val="24"/>
        </w:rPr>
        <w:t xml:space="preserve"> Thomas Edison </w:t>
      </w:r>
      <w:r w:rsidRPr="002B5E32">
        <w:rPr>
          <w:rFonts w:ascii="Arial" w:hAnsi="Arial" w:cs="Arial"/>
          <w:sz w:val="24"/>
          <w:szCs w:val="24"/>
        </w:rPr>
        <w:t>__________________________</w:t>
      </w:r>
    </w:p>
    <w:p w14:paraId="126098A1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 xml:space="preserve">r Email Address: </w:t>
      </w:r>
      <w:r w:rsidR="005E5DC0" w:rsidRPr="002B5E32">
        <w:rPr>
          <w:rFonts w:ascii="Arial" w:hAnsi="Arial" w:cs="Arial"/>
          <w:sz w:val="24"/>
          <w:szCs w:val="24"/>
        </w:rPr>
        <w:t xml:space="preserve"> thomas.edison@</w:t>
      </w:r>
      <w:r w:rsidR="002A0343" w:rsidRPr="002B5E32">
        <w:rPr>
          <w:rFonts w:ascii="Arial" w:hAnsi="Arial" w:cs="Arial"/>
          <w:sz w:val="24"/>
          <w:szCs w:val="24"/>
        </w:rPr>
        <w:t>edison</w:t>
      </w:r>
      <w:r w:rsidR="005E5DC0" w:rsidRPr="002B5E32">
        <w:rPr>
          <w:rFonts w:ascii="Arial" w:hAnsi="Arial" w:cs="Arial"/>
          <w:sz w:val="24"/>
          <w:szCs w:val="24"/>
        </w:rPr>
        <w:t>.edu</w:t>
      </w:r>
      <w:r w:rsidRPr="002B5E32">
        <w:rPr>
          <w:rFonts w:ascii="Arial" w:hAnsi="Arial" w:cs="Arial"/>
          <w:sz w:val="24"/>
          <w:szCs w:val="24"/>
        </w:rPr>
        <w:t>_____________________</w:t>
      </w:r>
    </w:p>
    <w:p w14:paraId="1ECC0D3D" w14:textId="77777777" w:rsidR="00135F94" w:rsidRPr="002B5E32" w:rsidRDefault="00135F94" w:rsidP="0040210B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="00EF45B8">
        <w:rPr>
          <w:rFonts w:ascii="Arial" w:hAnsi="Arial" w:cs="Arial"/>
          <w:sz w:val="24"/>
          <w:szCs w:val="24"/>
        </w:rPr>
        <w:t xml:space="preserve">r Signature: </w:t>
      </w:r>
      <w:r w:rsidRPr="002B5E32">
        <w:rPr>
          <w:rFonts w:ascii="Arial" w:hAnsi="Arial" w:cs="Arial"/>
          <w:sz w:val="24"/>
          <w:szCs w:val="24"/>
        </w:rPr>
        <w:t>____________________________________________________</w:t>
      </w:r>
      <w:r w:rsidRPr="002B5E32">
        <w:rPr>
          <w:rFonts w:ascii="Arial" w:hAnsi="Arial" w:cs="Arial"/>
          <w:sz w:val="24"/>
          <w:szCs w:val="24"/>
        </w:rPr>
        <w:br/>
        <w:t>Advis</w:t>
      </w:r>
      <w:r w:rsidR="008B2B6C" w:rsidRPr="002B5E32">
        <w:rPr>
          <w:rFonts w:ascii="Arial" w:hAnsi="Arial" w:cs="Arial"/>
          <w:sz w:val="24"/>
          <w:szCs w:val="24"/>
        </w:rPr>
        <w:t>o</w:t>
      </w:r>
      <w:r w:rsidRPr="002B5E32">
        <w:rPr>
          <w:rFonts w:ascii="Arial" w:hAnsi="Arial" w:cs="Arial"/>
          <w:sz w:val="24"/>
          <w:szCs w:val="24"/>
        </w:rPr>
        <w:t>r signature certifies that the advisor has reviewed the uncertainty analysis and finds no gross errors or misrepresentations of the data</w:t>
      </w:r>
      <w:r w:rsidR="008B2B6C" w:rsidRPr="002B5E32">
        <w:rPr>
          <w:rFonts w:ascii="Arial" w:hAnsi="Arial" w:cs="Arial"/>
          <w:sz w:val="24"/>
          <w:szCs w:val="24"/>
        </w:rPr>
        <w:t xml:space="preserve">, and that the work appears to be original and performed by the student.  </w:t>
      </w:r>
      <w:r w:rsidRPr="002B5E32">
        <w:rPr>
          <w:rFonts w:ascii="Arial" w:hAnsi="Arial" w:cs="Arial"/>
          <w:sz w:val="24"/>
          <w:szCs w:val="24"/>
        </w:rPr>
        <w:t xml:space="preserve"> </w:t>
      </w:r>
    </w:p>
    <w:p w14:paraId="1524B235" w14:textId="77777777" w:rsidR="005E5DC0" w:rsidRPr="002B5E32" w:rsidRDefault="00135F94" w:rsidP="005E5DC0">
      <w:pPr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Title of EMC Abstract: </w:t>
      </w:r>
      <w:r w:rsidRPr="002B5E32">
        <w:rPr>
          <w:rFonts w:ascii="Arial" w:hAnsi="Arial" w:cs="Arial"/>
          <w:sz w:val="24"/>
          <w:szCs w:val="24"/>
        </w:rPr>
        <w:tab/>
      </w:r>
      <w:r w:rsidR="005E5DC0" w:rsidRPr="002B5E32">
        <w:rPr>
          <w:rFonts w:ascii="Arial" w:hAnsi="Arial" w:cs="Arial"/>
          <w:sz w:val="24"/>
          <w:szCs w:val="24"/>
        </w:rPr>
        <w:t xml:space="preserve">Influence of Ga flux on high temperature growth of </w:t>
      </w:r>
      <w:proofErr w:type="spellStart"/>
      <w:r w:rsidR="005E5DC0" w:rsidRPr="002B5E32">
        <w:rPr>
          <w:rFonts w:ascii="Arial" w:hAnsi="Arial" w:cs="Arial"/>
          <w:sz w:val="24"/>
          <w:szCs w:val="24"/>
        </w:rPr>
        <w:t>AlGaAs</w:t>
      </w:r>
      <w:proofErr w:type="spellEnd"/>
      <w:r w:rsidR="005E5DC0" w:rsidRPr="002B5E32">
        <w:rPr>
          <w:rFonts w:ascii="Arial" w:hAnsi="Arial" w:cs="Arial"/>
          <w:sz w:val="24"/>
          <w:szCs w:val="24"/>
        </w:rPr>
        <w:t xml:space="preserve"> transistors</w:t>
      </w:r>
      <w:r w:rsidR="008B2B6C" w:rsidRPr="002B5E32">
        <w:rPr>
          <w:rFonts w:ascii="Arial" w:hAnsi="Arial" w:cs="Arial"/>
          <w:sz w:val="24"/>
          <w:szCs w:val="24"/>
        </w:rPr>
        <w:tab/>
      </w:r>
      <w:r w:rsidR="008B2B6C" w:rsidRPr="002B5E32">
        <w:rPr>
          <w:rFonts w:ascii="Arial" w:hAnsi="Arial" w:cs="Arial"/>
          <w:sz w:val="24"/>
          <w:szCs w:val="24"/>
        </w:rPr>
        <w:tab/>
      </w:r>
    </w:p>
    <w:p w14:paraId="3BD554F3" w14:textId="77777777" w:rsidR="00135F94" w:rsidRPr="002B5E32" w:rsidRDefault="008B2B6C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Brief description of numerical result(s) for which uncertainty analysis has been performed:  </w:t>
      </w:r>
    </w:p>
    <w:p w14:paraId="0228C2E0" w14:textId="77777777" w:rsidR="008B2B6C" w:rsidRPr="002B5E32" w:rsidRDefault="002A0343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2B5E32">
        <w:rPr>
          <w:rFonts w:ascii="Arial" w:hAnsi="Arial" w:cs="Arial"/>
          <w:sz w:val="24"/>
          <w:szCs w:val="24"/>
        </w:rPr>
        <w:t>AlGaAs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composition </w:t>
      </w:r>
      <w:r w:rsidR="00DF02C6" w:rsidRPr="002B5E32">
        <w:rPr>
          <w:rFonts w:ascii="Arial" w:hAnsi="Arial" w:cs="Arial"/>
          <w:sz w:val="24"/>
          <w:szCs w:val="24"/>
        </w:rPr>
        <w:t xml:space="preserve">of films grown with molecular beam epitaxy was measured with </w:t>
      </w:r>
      <w:r w:rsidRPr="002B5E32">
        <w:rPr>
          <w:rFonts w:ascii="Arial" w:hAnsi="Arial" w:cs="Arial"/>
          <w:sz w:val="24"/>
          <w:szCs w:val="24"/>
        </w:rPr>
        <w:t>typical result for Al mole fraction x =0.</w:t>
      </w:r>
      <w:r w:rsidR="008955A0">
        <w:rPr>
          <w:rFonts w:ascii="Arial" w:hAnsi="Arial" w:cs="Arial"/>
          <w:sz w:val="24"/>
          <w:szCs w:val="24"/>
        </w:rPr>
        <w:t>2033</w:t>
      </w:r>
      <w:r w:rsidRPr="002B5E32">
        <w:rPr>
          <w:rFonts w:ascii="Arial" w:hAnsi="Arial" w:cs="Arial"/>
          <w:sz w:val="24"/>
          <w:szCs w:val="24"/>
        </w:rPr>
        <w:t xml:space="preserve"> +/- </w:t>
      </w:r>
      <w:proofErr w:type="gramStart"/>
      <w:r w:rsidRPr="002B5E32">
        <w:rPr>
          <w:rFonts w:ascii="Arial" w:hAnsi="Arial" w:cs="Arial"/>
          <w:sz w:val="24"/>
          <w:szCs w:val="24"/>
        </w:rPr>
        <w:t>0.00</w:t>
      </w:r>
      <w:r w:rsidR="008955A0">
        <w:rPr>
          <w:rFonts w:ascii="Arial" w:hAnsi="Arial" w:cs="Arial"/>
          <w:sz w:val="24"/>
          <w:szCs w:val="24"/>
        </w:rPr>
        <w:t>15</w:t>
      </w:r>
      <w:r w:rsidRPr="002B5E32">
        <w:rPr>
          <w:rFonts w:ascii="Arial" w:hAnsi="Arial" w:cs="Arial"/>
          <w:sz w:val="24"/>
          <w:szCs w:val="24"/>
        </w:rPr>
        <w:t xml:space="preserve"> .</w:t>
      </w:r>
      <w:proofErr w:type="gramEnd"/>
      <w:r w:rsidR="00C53E0D" w:rsidRPr="002B5E32">
        <w:rPr>
          <w:rFonts w:ascii="Arial" w:hAnsi="Arial" w:cs="Arial"/>
          <w:sz w:val="24"/>
          <w:szCs w:val="24"/>
        </w:rPr>
        <w:t xml:space="preserve">  This uncertainty is based on a single standard deviation confidence interval (k=1). </w:t>
      </w:r>
    </w:p>
    <w:p w14:paraId="70C8C19F" w14:textId="77777777" w:rsidR="00DF02C6" w:rsidRPr="002B5E32" w:rsidRDefault="00DF02C6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0B8DE15" w14:textId="77777777" w:rsidR="008B2B6C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Describe the type of raw data collected and analyzed in this experiment.</w:t>
      </w:r>
      <w:r w:rsidR="008B2B6C" w:rsidRPr="002B5E32">
        <w:rPr>
          <w:rFonts w:ascii="Arial" w:hAnsi="Arial" w:cs="Arial"/>
          <w:sz w:val="24"/>
          <w:szCs w:val="24"/>
        </w:rPr>
        <w:t xml:space="preserve">  </w:t>
      </w:r>
    </w:p>
    <w:p w14:paraId="2F2CBCFF" w14:textId="5896841C" w:rsidR="002A0343" w:rsidRPr="002B5E32" w:rsidRDefault="002A0343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Al and Ga growth rates were measured using RHEED intensity oscillations during molecular beam epitaxial growth.  The intensity data </w:t>
      </w:r>
      <w:r w:rsidR="00B568D0">
        <w:rPr>
          <w:rFonts w:ascii="Arial" w:hAnsi="Arial" w:cs="Arial"/>
          <w:sz w:val="24"/>
          <w:szCs w:val="24"/>
        </w:rPr>
        <w:t>were</w:t>
      </w:r>
      <w:r w:rsidRPr="002B5E32">
        <w:rPr>
          <w:rFonts w:ascii="Arial" w:hAnsi="Arial" w:cs="Arial"/>
          <w:sz w:val="24"/>
          <w:szCs w:val="24"/>
        </w:rPr>
        <w:t xml:space="preserve"> collected with a camera pointed at the RHEED screen and video frame grabber software.  The data were collected on a 10 mm test sample immediately prior to growth of the actual transistor films. </w:t>
      </w:r>
    </w:p>
    <w:p w14:paraId="625B55A8" w14:textId="77777777" w:rsidR="00DB2C91" w:rsidRPr="002B5E32" w:rsidRDefault="00DB2C91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64F1F1C2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Describe the method used to determine the uncertainty in the raw data.</w:t>
      </w:r>
    </w:p>
    <w:p w14:paraId="30D4969D" w14:textId="083E3395" w:rsidR="008A3BAC" w:rsidRDefault="00DB2C91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Growth rates were collected for </w:t>
      </w:r>
      <w:proofErr w:type="spellStart"/>
      <w:r w:rsidRPr="002B5E32">
        <w:rPr>
          <w:rFonts w:ascii="Arial" w:hAnsi="Arial" w:cs="Arial"/>
          <w:sz w:val="24"/>
          <w:szCs w:val="24"/>
        </w:rPr>
        <w:t>AlAs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, GaAs and </w:t>
      </w:r>
      <w:proofErr w:type="spellStart"/>
      <w:r w:rsidRPr="002B5E32">
        <w:rPr>
          <w:rFonts w:ascii="Arial" w:hAnsi="Arial" w:cs="Arial"/>
          <w:sz w:val="24"/>
          <w:szCs w:val="24"/>
        </w:rPr>
        <w:t>AlGaAs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growth, with three to four data sets acquired per composition.  </w:t>
      </w:r>
      <w:r w:rsidR="00E02A9C" w:rsidRPr="002B5E32">
        <w:rPr>
          <w:rFonts w:ascii="Arial" w:hAnsi="Arial" w:cs="Arial"/>
          <w:sz w:val="24"/>
          <w:szCs w:val="24"/>
        </w:rPr>
        <w:t xml:space="preserve">The intensity data </w:t>
      </w:r>
      <w:r w:rsidR="00B568D0">
        <w:rPr>
          <w:rFonts w:ascii="Arial" w:hAnsi="Arial" w:cs="Arial"/>
          <w:sz w:val="24"/>
          <w:szCs w:val="24"/>
        </w:rPr>
        <w:t>were</w:t>
      </w:r>
      <w:r w:rsidR="00E02A9C" w:rsidRPr="002B5E32">
        <w:rPr>
          <w:rFonts w:ascii="Arial" w:hAnsi="Arial" w:cs="Arial"/>
          <w:sz w:val="24"/>
          <w:szCs w:val="24"/>
        </w:rPr>
        <w:t xml:space="preserve"> curve fit to </w:t>
      </w:r>
      <w:r w:rsidR="00E02A9C" w:rsidRPr="002B5E32">
        <w:rPr>
          <w:rFonts w:ascii="Arial" w:hAnsi="Arial" w:cs="Arial"/>
          <w:sz w:val="24"/>
          <w:szCs w:val="24"/>
        </w:rPr>
        <w:lastRenderedPageBreak/>
        <w:t>locate each extrema in time and then to calculate an instantaneous growth rate.  The instantaneous growth rate was averaged over a section at long time (past flux transients)</w:t>
      </w:r>
      <w:r w:rsidR="00C53E0D" w:rsidRPr="002B5E32">
        <w:rPr>
          <w:rFonts w:ascii="Arial" w:hAnsi="Arial" w:cs="Arial"/>
          <w:sz w:val="24"/>
          <w:szCs w:val="24"/>
        </w:rPr>
        <w:t xml:space="preserve">, yielding both an average growth rate and a standard deviation for the growth rate from a single curve.  </w:t>
      </w:r>
      <w:r w:rsidR="00E02A9C" w:rsidRPr="002B5E32">
        <w:rPr>
          <w:rFonts w:ascii="Arial" w:hAnsi="Arial" w:cs="Arial"/>
          <w:sz w:val="24"/>
          <w:szCs w:val="24"/>
        </w:rPr>
        <w:t xml:space="preserve">  </w:t>
      </w:r>
      <w:r w:rsidR="00C53E0D" w:rsidRPr="002B5E32">
        <w:rPr>
          <w:rFonts w:ascii="Arial" w:hAnsi="Arial" w:cs="Arial"/>
          <w:sz w:val="24"/>
          <w:szCs w:val="24"/>
        </w:rPr>
        <w:t xml:space="preserve">The </w:t>
      </w:r>
      <w:r w:rsidR="008A3BAC">
        <w:rPr>
          <w:rFonts w:ascii="Arial" w:hAnsi="Arial" w:cs="Arial"/>
          <w:sz w:val="24"/>
          <w:szCs w:val="24"/>
        </w:rPr>
        <w:t xml:space="preserve">weighted mean µ of the </w:t>
      </w:r>
      <w:r w:rsidR="00C53E0D" w:rsidRPr="002B5E32">
        <w:rPr>
          <w:rFonts w:ascii="Arial" w:hAnsi="Arial" w:cs="Arial"/>
          <w:sz w:val="24"/>
          <w:szCs w:val="24"/>
        </w:rPr>
        <w:t xml:space="preserve">values of the separate data curves were then </w:t>
      </w:r>
      <w:r w:rsidR="008A3BAC">
        <w:rPr>
          <w:rFonts w:ascii="Arial" w:hAnsi="Arial" w:cs="Arial"/>
          <w:sz w:val="24"/>
          <w:szCs w:val="24"/>
        </w:rPr>
        <w:t xml:space="preserve">calculated as </w:t>
      </w:r>
    </w:p>
    <w:p w14:paraId="66A2D787" w14:textId="46F2F267" w:rsidR="00E9692A" w:rsidRPr="002B5E32" w:rsidRDefault="008A3BAC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µ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="004F685C"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>= sum(</w:t>
      </w:r>
      <w:r w:rsidR="00B568D0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 /</w:t>
      </w:r>
      <w:r w:rsidRPr="008A3BA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sum(</w:t>
      </w:r>
      <w:proofErr w:type="gramEnd"/>
      <w:r>
        <w:rPr>
          <w:rFonts w:ascii="Arial" w:hAnsi="Arial" w:cs="Arial"/>
          <w:sz w:val="24"/>
          <w:szCs w:val="24"/>
        </w:rPr>
        <w:t>1/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).</w:t>
      </w:r>
      <w:r w:rsidR="00C53E0D" w:rsidRPr="002B5E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C53E0D" w:rsidRPr="002B5E32">
        <w:rPr>
          <w:rFonts w:ascii="Arial" w:hAnsi="Arial" w:cs="Arial"/>
          <w:sz w:val="24"/>
          <w:szCs w:val="24"/>
        </w:rPr>
        <w:t xml:space="preserve">he </w:t>
      </w:r>
      <w:r w:rsidR="00B568D0">
        <w:rPr>
          <w:rFonts w:ascii="Arial" w:hAnsi="Arial" w:cs="Arial"/>
          <w:sz w:val="24"/>
          <w:szCs w:val="24"/>
        </w:rPr>
        <w:t xml:space="preserve">standard </w:t>
      </w:r>
      <w:r w:rsidR="00C53E0D" w:rsidRPr="002B5E32">
        <w:rPr>
          <w:rFonts w:ascii="Arial" w:hAnsi="Arial" w:cs="Arial"/>
          <w:sz w:val="24"/>
          <w:szCs w:val="24"/>
        </w:rPr>
        <w:t xml:space="preserve">error of the </w:t>
      </w:r>
      <w:r>
        <w:rPr>
          <w:rFonts w:ascii="Arial" w:hAnsi="Arial" w:cs="Arial"/>
          <w:sz w:val="24"/>
          <w:szCs w:val="24"/>
        </w:rPr>
        <w:t>weighted average is the square root of (1/</w:t>
      </w:r>
      <w:r w:rsidRPr="008A3BA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sum(</w:t>
      </w:r>
      <w:proofErr w:type="gramEnd"/>
      <w:r>
        <w:rPr>
          <w:rFonts w:ascii="Arial" w:hAnsi="Arial" w:cs="Arial"/>
          <w:sz w:val="24"/>
          <w:szCs w:val="24"/>
        </w:rPr>
        <w:t>1/</w:t>
      </w:r>
      <w:r w:rsidRPr="008A3BAC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σ</w:t>
      </w:r>
      <w:r w:rsidR="00B568D0">
        <w:rPr>
          <w:rFonts w:ascii="Arial" w:hAnsi="Arial" w:cs="Arial"/>
          <w:sz w:val="24"/>
          <w:szCs w:val="24"/>
          <w:vertAlign w:val="subscript"/>
        </w:rPr>
        <w:t>y</w:t>
      </w:r>
      <w:r w:rsidRPr="008A3BAC"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))</w:t>
      </w:r>
      <w:r w:rsidR="00E9692A" w:rsidRPr="002B5E32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{Equations 5-6 and 5-10 from P. R. </w:t>
      </w:r>
      <w:proofErr w:type="spellStart"/>
      <w:r>
        <w:rPr>
          <w:rFonts w:ascii="Arial" w:hAnsi="Arial" w:cs="Arial"/>
          <w:sz w:val="24"/>
          <w:szCs w:val="24"/>
        </w:rPr>
        <w:t>Bevington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747E74">
        <w:rPr>
          <w:rFonts w:ascii="Arial" w:hAnsi="Arial" w:cs="Arial"/>
          <w:i/>
          <w:sz w:val="24"/>
          <w:szCs w:val="24"/>
        </w:rPr>
        <w:t>Data Reduction and Error Analysis for the Physical Scientists</w:t>
      </w:r>
      <w:r>
        <w:rPr>
          <w:rFonts w:ascii="Arial" w:hAnsi="Arial" w:cs="Arial"/>
          <w:sz w:val="24"/>
          <w:szCs w:val="24"/>
        </w:rPr>
        <w:t xml:space="preserve">.} </w:t>
      </w:r>
      <w:r w:rsidR="00E9692A" w:rsidRPr="002B5E32">
        <w:rPr>
          <w:rFonts w:ascii="Arial" w:hAnsi="Arial" w:cs="Arial"/>
          <w:sz w:val="24"/>
          <w:szCs w:val="24"/>
        </w:rPr>
        <w:t xml:space="preserve">This result was the main </w:t>
      </w:r>
      <w:r w:rsidR="00B568D0">
        <w:rPr>
          <w:rFonts w:ascii="Arial" w:hAnsi="Arial" w:cs="Arial"/>
          <w:sz w:val="24"/>
          <w:szCs w:val="24"/>
        </w:rPr>
        <w:t>standard</w:t>
      </w:r>
      <w:r w:rsidR="00E9692A" w:rsidRPr="002B5E32">
        <w:rPr>
          <w:rFonts w:ascii="Arial" w:hAnsi="Arial" w:cs="Arial"/>
          <w:sz w:val="24"/>
          <w:szCs w:val="24"/>
        </w:rPr>
        <w:t xml:space="preserve"> uncertainty for the </w:t>
      </w:r>
      <w:r w:rsidR="00960B8F">
        <w:rPr>
          <w:rFonts w:ascii="Arial" w:hAnsi="Arial" w:cs="Arial"/>
          <w:sz w:val="24"/>
          <w:szCs w:val="24"/>
        </w:rPr>
        <w:t xml:space="preserve">growth rate </w:t>
      </w:r>
      <w:r w:rsidR="00E9692A" w:rsidRPr="002B5E32">
        <w:rPr>
          <w:rFonts w:ascii="Arial" w:hAnsi="Arial" w:cs="Arial"/>
          <w:sz w:val="24"/>
          <w:szCs w:val="24"/>
        </w:rPr>
        <w:t>measurements.</w:t>
      </w:r>
      <w:r w:rsidR="00DB2C91" w:rsidRPr="002B5E32">
        <w:rPr>
          <w:rFonts w:ascii="Arial" w:hAnsi="Arial" w:cs="Arial"/>
          <w:sz w:val="24"/>
          <w:szCs w:val="24"/>
        </w:rPr>
        <w:t xml:space="preserve">  </w:t>
      </w:r>
      <w:r w:rsidR="004F685C">
        <w:rPr>
          <w:rFonts w:ascii="Arial" w:hAnsi="Arial" w:cs="Arial"/>
          <w:sz w:val="24"/>
          <w:szCs w:val="24"/>
        </w:rPr>
        <w:t xml:space="preserve">  Because this is an example, </w:t>
      </w:r>
      <w:r w:rsidR="00EF45B8">
        <w:rPr>
          <w:rFonts w:ascii="Arial" w:hAnsi="Arial" w:cs="Arial"/>
          <w:sz w:val="24"/>
          <w:szCs w:val="24"/>
        </w:rPr>
        <w:t>I</w:t>
      </w:r>
      <w:r w:rsidR="004F685C">
        <w:rPr>
          <w:rFonts w:ascii="Arial" w:hAnsi="Arial" w:cs="Arial"/>
          <w:sz w:val="24"/>
          <w:szCs w:val="24"/>
        </w:rPr>
        <w:t xml:space="preserve"> also show the results of applying </w:t>
      </w:r>
      <w:proofErr w:type="spellStart"/>
      <w:r w:rsidR="004F685C">
        <w:rPr>
          <w:rFonts w:ascii="Arial" w:hAnsi="Arial" w:cs="Arial"/>
          <w:sz w:val="24"/>
          <w:szCs w:val="24"/>
        </w:rPr>
        <w:t>Eqns</w:t>
      </w:r>
      <w:proofErr w:type="spellEnd"/>
      <w:r w:rsidR="004F685C">
        <w:rPr>
          <w:rFonts w:ascii="Arial" w:hAnsi="Arial" w:cs="Arial"/>
          <w:sz w:val="24"/>
          <w:szCs w:val="24"/>
        </w:rPr>
        <w:t xml:space="preserve"> A-4 and A-5 from NIST Technical Note 1297, which would apply if we did not have uncertainty values for each individual data point. </w:t>
      </w:r>
      <w:r w:rsidR="00EF45B8">
        <w:rPr>
          <w:rFonts w:ascii="Arial" w:hAnsi="Arial" w:cs="Arial"/>
          <w:sz w:val="24"/>
          <w:szCs w:val="24"/>
        </w:rPr>
        <w:t xml:space="preserve"> The smaller uncertainties associated with using the stand</w:t>
      </w:r>
      <w:r w:rsidR="00B568D0">
        <w:rPr>
          <w:rFonts w:ascii="Arial" w:hAnsi="Arial" w:cs="Arial"/>
          <w:sz w:val="24"/>
          <w:szCs w:val="24"/>
        </w:rPr>
        <w:t>ard deviation of the values rela</w:t>
      </w:r>
      <w:r w:rsidR="00EF45B8">
        <w:rPr>
          <w:rFonts w:ascii="Arial" w:hAnsi="Arial" w:cs="Arial"/>
          <w:sz w:val="24"/>
          <w:szCs w:val="24"/>
        </w:rPr>
        <w:t xml:space="preserve">tive to the weighted uncertainty indicates that the data </w:t>
      </w:r>
      <w:r w:rsidR="00B568D0">
        <w:rPr>
          <w:rFonts w:ascii="Arial" w:hAnsi="Arial" w:cs="Arial"/>
          <w:sz w:val="24"/>
          <w:szCs w:val="24"/>
        </w:rPr>
        <w:t>are</w:t>
      </w:r>
      <w:r w:rsidR="00EF45B8">
        <w:rPr>
          <w:rFonts w:ascii="Arial" w:hAnsi="Arial" w:cs="Arial"/>
          <w:sz w:val="24"/>
          <w:szCs w:val="24"/>
        </w:rPr>
        <w:t xml:space="preserve"> more reproducible than the noisy values at long time would predict. 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345"/>
        <w:gridCol w:w="1170"/>
        <w:gridCol w:w="1260"/>
        <w:gridCol w:w="1260"/>
        <w:gridCol w:w="1260"/>
        <w:gridCol w:w="1264"/>
        <w:gridCol w:w="1071"/>
      </w:tblGrid>
      <w:tr w:rsidR="008A3BAC" w:rsidRPr="002B5E32" w14:paraId="2ED5F71D" w14:textId="77777777" w:rsidTr="008A3BAC">
        <w:tc>
          <w:tcPr>
            <w:tcW w:w="1345" w:type="dxa"/>
          </w:tcPr>
          <w:p w14:paraId="103355B9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Source</w:t>
            </w:r>
          </w:p>
        </w:tc>
        <w:tc>
          <w:tcPr>
            <w:tcW w:w="1170" w:type="dxa"/>
          </w:tcPr>
          <w:p w14:paraId="1C6C6177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Al[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14:paraId="04E3E21C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a</w:t>
            </w:r>
            <w:proofErr w:type="spellEnd"/>
          </w:p>
        </w:tc>
        <w:tc>
          <w:tcPr>
            <w:tcW w:w="1260" w:type="dxa"/>
          </w:tcPr>
          <w:p w14:paraId="3565F16A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Ga 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g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260" w:type="dxa"/>
          </w:tcPr>
          <w:p w14:paraId="22EB2D8D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g</w:t>
            </w:r>
            <w:proofErr w:type="spellEnd"/>
          </w:p>
        </w:tc>
        <w:tc>
          <w:tcPr>
            <w:tcW w:w="1264" w:type="dxa"/>
          </w:tcPr>
          <w:p w14:paraId="333F3CFC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AlGa</w:t>
            </w:r>
            <w:proofErr w:type="spellEnd"/>
            <w:r w:rsidRPr="002B5E32">
              <w:rPr>
                <w:rFonts w:ascii="Arial" w:hAnsi="Arial" w:cs="Arial"/>
                <w:sz w:val="24"/>
                <w:szCs w:val="24"/>
              </w:rPr>
              <w:t>[</w:t>
            </w:r>
            <w:r w:rsidRPr="00B568D0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Pr="002B5E32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1071" w:type="dxa"/>
          </w:tcPr>
          <w:p w14:paraId="1C136352" w14:textId="77777777" w:rsidR="002B5E32" w:rsidRPr="002B5E32" w:rsidRDefault="002B5E3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  <w:r w:rsidRPr="002B5E32">
              <w:rPr>
                <w:rFonts w:ascii="Arial" w:hAnsi="Arial" w:cs="Arial"/>
                <w:sz w:val="24"/>
                <w:szCs w:val="24"/>
                <w:vertAlign w:val="subscript"/>
              </w:rPr>
              <w:t>b</w:t>
            </w:r>
            <w:proofErr w:type="spellEnd"/>
          </w:p>
        </w:tc>
      </w:tr>
      <w:tr w:rsidR="008A3BAC" w:rsidRPr="002B5E32" w14:paraId="10EB77CD" w14:textId="77777777" w:rsidTr="008A3BAC">
        <w:tc>
          <w:tcPr>
            <w:tcW w:w="1345" w:type="dxa"/>
          </w:tcPr>
          <w:p w14:paraId="6175E175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1</w:t>
            </w:r>
          </w:p>
        </w:tc>
        <w:tc>
          <w:tcPr>
            <w:tcW w:w="1170" w:type="dxa"/>
          </w:tcPr>
          <w:p w14:paraId="0257421D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0.21244</w:t>
            </w:r>
          </w:p>
        </w:tc>
        <w:tc>
          <w:tcPr>
            <w:tcW w:w="1260" w:type="dxa"/>
          </w:tcPr>
          <w:p w14:paraId="689008A2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0.00120</w:t>
            </w:r>
            <w:r w:rsidR="008A3B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8A80E3C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0.82951</w:t>
            </w:r>
          </w:p>
        </w:tc>
        <w:tc>
          <w:tcPr>
            <w:tcW w:w="1260" w:type="dxa"/>
          </w:tcPr>
          <w:p w14:paraId="62370D67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0.069453</w:t>
            </w:r>
          </w:p>
        </w:tc>
        <w:tc>
          <w:tcPr>
            <w:tcW w:w="1264" w:type="dxa"/>
          </w:tcPr>
          <w:p w14:paraId="750A2120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1.04046</w:t>
            </w:r>
          </w:p>
        </w:tc>
        <w:tc>
          <w:tcPr>
            <w:tcW w:w="1071" w:type="dxa"/>
          </w:tcPr>
          <w:p w14:paraId="20A5BA5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0.08932</w:t>
            </w:r>
          </w:p>
        </w:tc>
      </w:tr>
      <w:tr w:rsidR="008A3BAC" w:rsidRPr="002B5E32" w14:paraId="2A6FE809" w14:textId="77777777" w:rsidTr="008A3BAC">
        <w:tc>
          <w:tcPr>
            <w:tcW w:w="1345" w:type="dxa"/>
          </w:tcPr>
          <w:p w14:paraId="345FAA2C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2</w:t>
            </w:r>
          </w:p>
        </w:tc>
        <w:tc>
          <w:tcPr>
            <w:tcW w:w="1170" w:type="dxa"/>
          </w:tcPr>
          <w:p w14:paraId="55102463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0.21211</w:t>
            </w:r>
          </w:p>
        </w:tc>
        <w:tc>
          <w:tcPr>
            <w:tcW w:w="1260" w:type="dxa"/>
          </w:tcPr>
          <w:p w14:paraId="6750D1F7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0.00230</w:t>
            </w:r>
            <w:r w:rsidR="008A3B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14:paraId="2293CF11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0.82821</w:t>
            </w:r>
          </w:p>
        </w:tc>
        <w:tc>
          <w:tcPr>
            <w:tcW w:w="1260" w:type="dxa"/>
          </w:tcPr>
          <w:p w14:paraId="1B7B8CF4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0.016829</w:t>
            </w:r>
          </w:p>
        </w:tc>
        <w:tc>
          <w:tcPr>
            <w:tcW w:w="1264" w:type="dxa"/>
          </w:tcPr>
          <w:p w14:paraId="6DDB34F2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1.04444</w:t>
            </w:r>
          </w:p>
        </w:tc>
        <w:tc>
          <w:tcPr>
            <w:tcW w:w="1071" w:type="dxa"/>
          </w:tcPr>
          <w:p w14:paraId="0D8B0C9F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0.00753</w:t>
            </w:r>
          </w:p>
        </w:tc>
      </w:tr>
      <w:tr w:rsidR="008A3BAC" w:rsidRPr="002B5E32" w14:paraId="009298DA" w14:textId="77777777" w:rsidTr="008A3BAC">
        <w:tc>
          <w:tcPr>
            <w:tcW w:w="1345" w:type="dxa"/>
          </w:tcPr>
          <w:p w14:paraId="2225648F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3</w:t>
            </w:r>
          </w:p>
        </w:tc>
        <w:tc>
          <w:tcPr>
            <w:tcW w:w="1170" w:type="dxa"/>
          </w:tcPr>
          <w:p w14:paraId="0F8F79C6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0.21242</w:t>
            </w:r>
          </w:p>
        </w:tc>
        <w:tc>
          <w:tcPr>
            <w:tcW w:w="1260" w:type="dxa"/>
          </w:tcPr>
          <w:p w14:paraId="0E3F60C6" w14:textId="77777777" w:rsidR="002B5E32" w:rsidRPr="002B5E32" w:rsidRDefault="002B5E32" w:rsidP="008A3BAC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0.00065</w:t>
            </w:r>
            <w:r w:rsidR="008A3BA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3070361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0.84398</w:t>
            </w:r>
          </w:p>
        </w:tc>
        <w:tc>
          <w:tcPr>
            <w:tcW w:w="1260" w:type="dxa"/>
          </w:tcPr>
          <w:p w14:paraId="5BD8DA7D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0.082639</w:t>
            </w:r>
          </w:p>
        </w:tc>
        <w:tc>
          <w:tcPr>
            <w:tcW w:w="1264" w:type="dxa"/>
          </w:tcPr>
          <w:p w14:paraId="2942D317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1.04819</w:t>
            </w:r>
          </w:p>
        </w:tc>
        <w:tc>
          <w:tcPr>
            <w:tcW w:w="1071" w:type="dxa"/>
          </w:tcPr>
          <w:p w14:paraId="03A8DF7E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0.03513</w:t>
            </w:r>
          </w:p>
        </w:tc>
      </w:tr>
      <w:tr w:rsidR="008A3BAC" w:rsidRPr="002B5E32" w14:paraId="46B96FCF" w14:textId="77777777" w:rsidTr="008A3BAC">
        <w:tc>
          <w:tcPr>
            <w:tcW w:w="1345" w:type="dxa"/>
          </w:tcPr>
          <w:p w14:paraId="12FE9FE4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Data set 4</w:t>
            </w:r>
          </w:p>
        </w:tc>
        <w:tc>
          <w:tcPr>
            <w:tcW w:w="1170" w:type="dxa"/>
          </w:tcPr>
          <w:p w14:paraId="4D48A640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1EC1F9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045202" w14:textId="77777777" w:rsidR="002B5E32" w:rsidRPr="002B5E32" w:rsidRDefault="002B5E32" w:rsidP="002B5E32">
            <w:pPr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0.84769</w:t>
            </w:r>
          </w:p>
        </w:tc>
        <w:tc>
          <w:tcPr>
            <w:tcW w:w="1260" w:type="dxa"/>
          </w:tcPr>
          <w:p w14:paraId="2ACB0DF0" w14:textId="77777777" w:rsidR="002B5E32" w:rsidRPr="002B5E32" w:rsidRDefault="00960B8F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0B8F">
              <w:rPr>
                <w:rFonts w:ascii="Arial" w:hAnsi="Arial" w:cs="Arial"/>
                <w:sz w:val="24"/>
                <w:szCs w:val="24"/>
              </w:rPr>
              <w:t>0.109688</w:t>
            </w:r>
          </w:p>
        </w:tc>
        <w:tc>
          <w:tcPr>
            <w:tcW w:w="1264" w:type="dxa"/>
          </w:tcPr>
          <w:p w14:paraId="4AE289BA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14:paraId="6FCA80BB" w14:textId="77777777" w:rsidR="002B5E32" w:rsidRPr="002B5E32" w:rsidRDefault="002B5E32" w:rsidP="002B5E3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BAC" w:rsidRPr="002B5E32" w14:paraId="72297AD4" w14:textId="77777777" w:rsidTr="008A3BAC">
        <w:tc>
          <w:tcPr>
            <w:tcW w:w="1345" w:type="dxa"/>
          </w:tcPr>
          <w:p w14:paraId="53032500" w14:textId="77777777" w:rsidR="008A3BAC" w:rsidRDefault="008A3BA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Weighted </w:t>
            </w:r>
          </w:p>
          <w:p w14:paraId="3AAF51CF" w14:textId="77777777" w:rsidR="002B5E32" w:rsidRPr="002B5E32" w:rsidRDefault="002B5E32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170" w:type="dxa"/>
          </w:tcPr>
          <w:p w14:paraId="72E23FBF" w14:textId="77777777" w:rsidR="002B5E32" w:rsidRPr="002B5E32" w:rsidRDefault="008A3BAC" w:rsidP="008A3B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0.21240</w:t>
            </w:r>
          </w:p>
        </w:tc>
        <w:tc>
          <w:tcPr>
            <w:tcW w:w="1260" w:type="dxa"/>
          </w:tcPr>
          <w:p w14:paraId="6CB48283" w14:textId="77777777" w:rsidR="002B5E32" w:rsidRPr="002B5E32" w:rsidRDefault="008A3BA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0.00056</w:t>
            </w:r>
          </w:p>
        </w:tc>
        <w:tc>
          <w:tcPr>
            <w:tcW w:w="1260" w:type="dxa"/>
          </w:tcPr>
          <w:p w14:paraId="63FFCCCE" w14:textId="77777777" w:rsidR="002B5E32" w:rsidRPr="002B5E32" w:rsidRDefault="008A3BAC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0.829</w:t>
            </w:r>
            <w:r w:rsidR="004F68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14:paraId="6760E65B" w14:textId="77777777" w:rsidR="002B5E32" w:rsidRPr="002B5E32" w:rsidRDefault="002042F4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</w:t>
            </w:r>
            <w:r w:rsidR="004F685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4" w:type="dxa"/>
          </w:tcPr>
          <w:p w14:paraId="0B722401" w14:textId="77777777" w:rsidR="002B5E32" w:rsidRPr="002B5E32" w:rsidRDefault="002042F4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</w:t>
            </w:r>
            <w:r w:rsidR="004F68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14:paraId="34DBDFE7" w14:textId="77777777" w:rsidR="002B5E32" w:rsidRPr="002B5E32" w:rsidRDefault="002042F4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0.0073</w:t>
            </w:r>
          </w:p>
        </w:tc>
      </w:tr>
      <w:tr w:rsidR="008A3BAC" w:rsidRPr="002B5E32" w14:paraId="789859D8" w14:textId="77777777" w:rsidTr="008A3BAC">
        <w:tc>
          <w:tcPr>
            <w:tcW w:w="1345" w:type="dxa"/>
          </w:tcPr>
          <w:p w14:paraId="3C5A1605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TN 1297</w:t>
            </w:r>
          </w:p>
        </w:tc>
        <w:tc>
          <w:tcPr>
            <w:tcW w:w="1170" w:type="dxa"/>
          </w:tcPr>
          <w:p w14:paraId="670B9328" w14:textId="77777777" w:rsidR="008A3BAC" w:rsidRDefault="004F685C" w:rsidP="008A3B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0.21232</w:t>
            </w:r>
          </w:p>
        </w:tc>
        <w:tc>
          <w:tcPr>
            <w:tcW w:w="1260" w:type="dxa"/>
          </w:tcPr>
          <w:p w14:paraId="42196176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0.00011</w:t>
            </w:r>
          </w:p>
        </w:tc>
        <w:tc>
          <w:tcPr>
            <w:tcW w:w="1260" w:type="dxa"/>
          </w:tcPr>
          <w:p w14:paraId="62BCD657" w14:textId="77777777" w:rsidR="008A3BAC" w:rsidRPr="002B5E32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0.8373</w:t>
            </w:r>
          </w:p>
        </w:tc>
        <w:tc>
          <w:tcPr>
            <w:tcW w:w="1260" w:type="dxa"/>
          </w:tcPr>
          <w:p w14:paraId="0177A5B8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0.005</w:t>
            </w:r>
          </w:p>
        </w:tc>
        <w:tc>
          <w:tcPr>
            <w:tcW w:w="1264" w:type="dxa"/>
          </w:tcPr>
          <w:p w14:paraId="661D3CB6" w14:textId="77777777" w:rsidR="008A3BAC" w:rsidRDefault="004F685C" w:rsidP="004F685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1.0444</w:t>
            </w:r>
          </w:p>
        </w:tc>
        <w:tc>
          <w:tcPr>
            <w:tcW w:w="1071" w:type="dxa"/>
          </w:tcPr>
          <w:p w14:paraId="0AAF0D27" w14:textId="77777777" w:rsidR="008A3BAC" w:rsidRDefault="004F685C" w:rsidP="00F278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0.002</w:t>
            </w:r>
          </w:p>
        </w:tc>
      </w:tr>
    </w:tbl>
    <w:p w14:paraId="07BBBB05" w14:textId="77777777" w:rsidR="002B5E32" w:rsidRPr="002B5E32" w:rsidRDefault="002B5E32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4802528F" w14:textId="1D7B1D2E" w:rsidR="00DB2C91" w:rsidRPr="002B5E32" w:rsidRDefault="00DB2C91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Systematic errors</w:t>
      </w:r>
      <w:r w:rsidR="00E9692A" w:rsidRPr="002B5E32">
        <w:rPr>
          <w:rFonts w:ascii="Arial" w:hAnsi="Arial" w:cs="Arial"/>
          <w:sz w:val="24"/>
          <w:szCs w:val="24"/>
        </w:rPr>
        <w:t xml:space="preserve"> </w:t>
      </w:r>
      <w:r w:rsidRPr="002B5E32">
        <w:rPr>
          <w:rFonts w:ascii="Arial" w:hAnsi="Arial" w:cs="Arial"/>
          <w:sz w:val="24"/>
          <w:szCs w:val="24"/>
        </w:rPr>
        <w:t>associated with substrate temperature and the reconstruction direction used for intensity measurements were evaluated by repeating the measurements while varying these parameters.</w:t>
      </w:r>
      <w:r w:rsidR="000F18E7">
        <w:rPr>
          <w:rFonts w:ascii="Arial" w:hAnsi="Arial" w:cs="Arial"/>
          <w:sz w:val="24"/>
          <w:szCs w:val="24"/>
        </w:rPr>
        <w:t xml:space="preserve"> There were no observable changes associated with modifying these experimental conditions.</w:t>
      </w:r>
      <w:r w:rsidRPr="002B5E32">
        <w:rPr>
          <w:rFonts w:ascii="Arial" w:hAnsi="Arial" w:cs="Arial"/>
          <w:sz w:val="24"/>
          <w:szCs w:val="24"/>
        </w:rPr>
        <w:t xml:space="preserve">  </w:t>
      </w:r>
      <w:r w:rsidR="00DF02C6" w:rsidRPr="002B5E32">
        <w:rPr>
          <w:rFonts w:ascii="Arial" w:hAnsi="Arial" w:cs="Arial"/>
          <w:sz w:val="24"/>
          <w:szCs w:val="24"/>
        </w:rPr>
        <w:t xml:space="preserve">I also evaluated the effect of beam position on the final value by adjusting the beam deflection on the RHEED beam.  </w:t>
      </w:r>
      <w:r w:rsidR="00D22772" w:rsidRPr="002B5E32">
        <w:rPr>
          <w:rFonts w:ascii="Arial" w:hAnsi="Arial" w:cs="Arial"/>
          <w:sz w:val="24"/>
          <w:szCs w:val="24"/>
        </w:rPr>
        <w:t xml:space="preserve">Intensity oscillations were found to include </w:t>
      </w:r>
      <w:r w:rsidR="00D22772" w:rsidRPr="002B5E32">
        <w:rPr>
          <w:rFonts w:ascii="Arial" w:hAnsi="Arial" w:cs="Arial"/>
          <w:sz w:val="24"/>
          <w:szCs w:val="24"/>
        </w:rPr>
        <w:lastRenderedPageBreak/>
        <w:t xml:space="preserve">interference beats that increased the intensity decay envelope and changed the phase of the oscillation, leading to a missing half period if peaks are naively counted on either side of the beat.   I determined that these beats were due to spatial flux variations along the beam path, and their effect was reduced by using a small substrate (10 mm by 10 mm square).   </w:t>
      </w:r>
      <w:r w:rsidR="00DF02C6" w:rsidRPr="002B5E32">
        <w:rPr>
          <w:rFonts w:ascii="Arial" w:hAnsi="Arial" w:cs="Arial"/>
          <w:sz w:val="24"/>
          <w:szCs w:val="24"/>
        </w:rPr>
        <w:t xml:space="preserve">Flux transients associated with changes in cell temperature upon first opening the shutter were significant for the Al cell, and their effect was </w:t>
      </w:r>
      <w:r w:rsidR="00F278FC" w:rsidRPr="002B5E32">
        <w:rPr>
          <w:rFonts w:ascii="Arial" w:hAnsi="Arial" w:cs="Arial"/>
          <w:sz w:val="24"/>
          <w:szCs w:val="24"/>
        </w:rPr>
        <w:t xml:space="preserve">eliminated by plotting growth rate data as a function of time, and using only data </w:t>
      </w:r>
      <w:r w:rsidR="00B568D0">
        <w:rPr>
          <w:rFonts w:ascii="Arial" w:hAnsi="Arial" w:cs="Arial"/>
          <w:sz w:val="24"/>
          <w:szCs w:val="24"/>
        </w:rPr>
        <w:t xml:space="preserve">collected </w:t>
      </w:r>
      <w:r w:rsidR="00F278FC" w:rsidRPr="002B5E32">
        <w:rPr>
          <w:rFonts w:ascii="Arial" w:hAnsi="Arial" w:cs="Arial"/>
          <w:sz w:val="24"/>
          <w:szCs w:val="24"/>
        </w:rPr>
        <w:t xml:space="preserve">after the growth rate had stabilized.  </w:t>
      </w:r>
    </w:p>
    <w:p w14:paraId="1C260414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>Provide the formulas used to determine the final numerical result from the raw data, and show your propagation of error analysis.</w:t>
      </w:r>
    </w:p>
    <w:p w14:paraId="79773BB8" w14:textId="77777777" w:rsidR="00F278FC" w:rsidRPr="002B5E32" w:rsidRDefault="00F278FC" w:rsidP="00F278F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Composition of the film can be extracted from the RHEED measurements of the </w:t>
      </w:r>
      <w:proofErr w:type="spellStart"/>
      <w:r w:rsidRPr="002B5E32">
        <w:rPr>
          <w:rFonts w:ascii="Arial" w:hAnsi="Arial" w:cs="Arial"/>
          <w:sz w:val="24"/>
          <w:szCs w:val="24"/>
        </w:rPr>
        <w:t>AlAs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, GaAs, and </w:t>
      </w:r>
      <w:proofErr w:type="spellStart"/>
      <w:r w:rsidRPr="002B5E32">
        <w:rPr>
          <w:rFonts w:ascii="Arial" w:hAnsi="Arial" w:cs="Arial"/>
          <w:sz w:val="24"/>
          <w:szCs w:val="24"/>
        </w:rPr>
        <w:t>AlGaAs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growth rates,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, and </w:t>
      </w:r>
      <w:r w:rsidRPr="002B5E32">
        <w:rPr>
          <w:rFonts w:ascii="Arial" w:hAnsi="Arial" w:cs="Arial"/>
          <w:i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, respectively.   These three growth rates can be combined to calculate the Al mole fraction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in four different ways, which are: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,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(</w:t>
      </w:r>
      <w:proofErr w:type="spellStart"/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proofErr w:type="spellEnd"/>
      <w:r w:rsidRPr="002B5E32">
        <w:rPr>
          <w:rFonts w:ascii="Arial" w:hAnsi="Arial" w:cs="Arial"/>
          <w:sz w:val="24"/>
          <w:szCs w:val="24"/>
        </w:rPr>
        <w:t>), and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 (</w:t>
      </w:r>
      <w:proofErr w:type="spellStart"/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).  Using Taylor-series expansions, the standard deviation in Al mole fraction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is estimated in terms of the mean and variance of the growth rates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, 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 xml:space="preserve">, and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, for each of the four equations listed above.  The equation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 (</w:t>
      </w:r>
      <w:proofErr w:type="spellStart"/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) gives higher mean square error than at least one of the other equations regardless of the values of the standard deviations of the average growth rates.  The standard deviations σ for </w:t>
      </w:r>
      <w:r w:rsidRPr="002B5E32">
        <w:rPr>
          <w:rFonts w:ascii="Arial" w:hAnsi="Arial" w:cs="Arial"/>
          <w:i/>
          <w:iCs/>
          <w:sz w:val="24"/>
          <w:szCs w:val="24"/>
        </w:rPr>
        <w:t>x</w:t>
      </w:r>
      <w:r w:rsidRPr="002B5E32">
        <w:rPr>
          <w:rFonts w:ascii="Arial" w:hAnsi="Arial" w:cs="Arial"/>
          <w:sz w:val="24"/>
          <w:szCs w:val="24"/>
        </w:rPr>
        <w:t xml:space="preserve"> based on the other equations can be estimated as follows</w:t>
      </w:r>
      <w:r w:rsidR="004D07E2">
        <w:rPr>
          <w:rFonts w:ascii="Arial" w:hAnsi="Arial" w:cs="Arial"/>
          <w:sz w:val="24"/>
          <w:szCs w:val="24"/>
        </w:rPr>
        <w:t xml:space="preserve"> (see attached paper)</w:t>
      </w:r>
      <w:r w:rsidRPr="002B5E32">
        <w:rPr>
          <w:rFonts w:ascii="Arial" w:hAnsi="Arial" w:cs="Arial"/>
          <w:sz w:val="24"/>
          <w:szCs w:val="24"/>
        </w:rPr>
        <w:t>:</w:t>
      </w:r>
    </w:p>
    <w:p w14:paraId="6E3AF47B" w14:textId="77777777" w:rsidR="00F278FC" w:rsidRPr="002B5E32" w:rsidRDefault="00F278FC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ab/>
      </w:r>
      <w:proofErr w:type="gramStart"/>
      <w:r w:rsidRPr="002B5E32">
        <w:rPr>
          <w:rFonts w:ascii="Arial" w:hAnsi="Arial" w:cs="Arial"/>
          <w:sz w:val="24"/>
          <w:szCs w:val="24"/>
        </w:rPr>
        <w:t>σ</w:t>
      </w:r>
      <w:proofErr w:type="gramEnd"/>
      <w:r w:rsidRPr="002B5E32">
        <w:rPr>
          <w:rFonts w:ascii="Arial" w:hAnsi="Arial" w:cs="Arial"/>
          <w:sz w:val="24"/>
          <w:szCs w:val="24"/>
        </w:rPr>
        <w:t xml:space="preserve">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B5E32">
        <w:rPr>
          <w:rFonts w:ascii="Arial" w:hAnsi="Arial" w:cs="Arial"/>
          <w:sz w:val="24"/>
          <w:szCs w:val="24"/>
        </w:rPr>
        <w:t>sqrt</w:t>
      </w:r>
      <w:proofErr w:type="spellEnd"/>
      <w:r w:rsidRPr="002B5E32">
        <w:rPr>
          <w:rFonts w:ascii="Arial" w:hAnsi="Arial" w:cs="Arial"/>
          <w:sz w:val="24"/>
          <w:szCs w:val="24"/>
        </w:rPr>
        <w:t>{ (</w:t>
      </w:r>
      <w:proofErr w:type="spellStart"/>
      <w:r w:rsidRPr="002B5E32">
        <w:rPr>
          <w:rFonts w:ascii="Arial" w:hAnsi="Arial" w:cs="Arial"/>
          <w:sz w:val="24"/>
          <w:szCs w:val="24"/>
        </w:rPr>
        <w:t>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</w:t>
      </w:r>
      <w:proofErr w:type="spellStart"/>
      <w:r w:rsidRPr="002B5E32">
        <w:rPr>
          <w:rFonts w:ascii="Arial" w:hAnsi="Arial" w:cs="Arial"/>
          <w:sz w:val="24"/>
          <w:szCs w:val="24"/>
        </w:rPr>
        <w:t>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}</w:t>
      </w:r>
    </w:p>
    <w:p w14:paraId="66C20F96" w14:textId="77777777" w:rsidR="00F278FC" w:rsidRPr="002B5E32" w:rsidRDefault="00F278FC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2B5E32">
        <w:rPr>
          <w:rFonts w:ascii="Arial" w:hAnsi="Arial" w:cs="Arial"/>
          <w:sz w:val="24"/>
          <w:szCs w:val="24"/>
        </w:rPr>
        <w:t>σ</w:t>
      </w:r>
      <w:proofErr w:type="gramEnd"/>
      <w:r w:rsidRPr="002B5E32">
        <w:rPr>
          <w:rFonts w:ascii="Arial" w:hAnsi="Arial" w:cs="Arial"/>
          <w:sz w:val="24"/>
          <w:szCs w:val="24"/>
        </w:rPr>
        <w:t xml:space="preserve"> ( (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-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r w:rsidRPr="002B5E32">
        <w:rPr>
          <w:rFonts w:ascii="Arial" w:hAnsi="Arial" w:cs="Arial"/>
          <w:sz w:val="24"/>
          <w:szCs w:val="24"/>
        </w:rPr>
        <w:t>) 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B5E32">
        <w:rPr>
          <w:rFonts w:ascii="Arial" w:hAnsi="Arial" w:cs="Arial"/>
          <w:sz w:val="24"/>
          <w:szCs w:val="24"/>
        </w:rPr>
        <w:t>sqrt</w:t>
      </w:r>
      <w:proofErr w:type="spellEnd"/>
      <w:r w:rsidRPr="002B5E32">
        <w:rPr>
          <w:rFonts w:ascii="Arial" w:hAnsi="Arial" w:cs="Arial"/>
          <w:sz w:val="24"/>
          <w:szCs w:val="24"/>
        </w:rPr>
        <w:t>{ (σ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σ</w:t>
      </w:r>
      <w:r w:rsidRPr="002B5E32">
        <w:rPr>
          <w:rFonts w:ascii="Arial" w:hAnsi="Arial" w:cs="Arial"/>
          <w:sz w:val="24"/>
          <w:szCs w:val="24"/>
          <w:vertAlign w:val="subscript"/>
        </w:rPr>
        <w:t>g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)/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</w:t>
      </w:r>
      <w:proofErr w:type="spellStart"/>
      <w:r w:rsidRPr="002B5E32">
        <w:rPr>
          <w:rFonts w:ascii="Arial" w:hAnsi="Arial" w:cs="Arial"/>
          <w:sz w:val="24"/>
          <w:szCs w:val="24"/>
        </w:rPr>
        <w:t>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- 2 σ</w:t>
      </w:r>
      <w:r w:rsidRPr="002B5E32">
        <w:rPr>
          <w:rFonts w:ascii="Arial" w:hAnsi="Arial" w:cs="Arial"/>
          <w:sz w:val="24"/>
          <w:szCs w:val="24"/>
          <w:vertAlign w:val="subscript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ab</w:t>
      </w:r>
      <w:r w:rsidRPr="002B5E32">
        <w:rPr>
          <w:rFonts w:ascii="Arial" w:hAnsi="Arial" w:cs="Arial"/>
          <w:sz w:val="24"/>
          <w:szCs w:val="24"/>
        </w:rPr>
        <w:t>}</w:t>
      </w:r>
    </w:p>
    <w:p w14:paraId="3DDCE5E7" w14:textId="77777777" w:rsidR="00F278FC" w:rsidRDefault="00F278FC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σ (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 xml:space="preserve"> / (</w:t>
      </w:r>
      <w:proofErr w:type="spellStart"/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+</w:t>
      </w:r>
      <w:r w:rsidRPr="002B5E32">
        <w:rPr>
          <w:rFonts w:ascii="Arial" w:hAnsi="Arial" w:cs="Arial"/>
          <w:i/>
          <w:iCs/>
          <w:sz w:val="24"/>
          <w:szCs w:val="24"/>
        </w:rPr>
        <w:t>g</w:t>
      </w:r>
      <w:proofErr w:type="spellEnd"/>
      <w:r w:rsidRPr="002B5E32">
        <w:rPr>
          <w:rFonts w:ascii="Arial" w:hAnsi="Arial" w:cs="Arial"/>
          <w:sz w:val="24"/>
          <w:szCs w:val="24"/>
        </w:rPr>
        <w:t>)) ≈ (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/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2B5E32">
        <w:rPr>
          <w:rFonts w:ascii="Arial" w:hAnsi="Arial" w:cs="Arial"/>
          <w:sz w:val="24"/>
          <w:szCs w:val="24"/>
        </w:rPr>
        <w:t>sqrt</w:t>
      </w:r>
      <w:proofErr w:type="spellEnd"/>
      <w:r w:rsidRPr="002B5E32">
        <w:rPr>
          <w:rFonts w:ascii="Arial" w:hAnsi="Arial" w:cs="Arial"/>
          <w:sz w:val="24"/>
          <w:szCs w:val="24"/>
        </w:rPr>
        <w:t>{ { (</w:t>
      </w:r>
      <w:proofErr w:type="spellStart"/>
      <w:r w:rsidRPr="002B5E32">
        <w:rPr>
          <w:rFonts w:ascii="Arial" w:hAnsi="Arial" w:cs="Arial"/>
          <w:sz w:val="24"/>
          <w:szCs w:val="24"/>
        </w:rPr>
        <w:t>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proofErr w:type="spellEnd"/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</w:t>
      </w:r>
      <w:r w:rsidRPr="002B5E32">
        <w:rPr>
          <w:rFonts w:ascii="Arial" w:hAnsi="Arial" w:cs="Arial"/>
          <w:sz w:val="24"/>
          <w:szCs w:val="24"/>
        </w:rPr>
        <w:t>)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(σ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+ σ</w:t>
      </w:r>
      <w:r w:rsidRPr="002B5E32">
        <w:rPr>
          <w:rFonts w:ascii="Arial" w:hAnsi="Arial" w:cs="Arial"/>
          <w:sz w:val="24"/>
          <w:szCs w:val="24"/>
          <w:vertAlign w:val="subscript"/>
        </w:rPr>
        <w:t>g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)/ </w:t>
      </w:r>
      <w:r w:rsidRPr="002B5E32">
        <w:rPr>
          <w:rFonts w:ascii="Arial" w:hAnsi="Arial" w:cs="Arial"/>
          <w:i/>
          <w:iCs/>
          <w:sz w:val="24"/>
          <w:szCs w:val="24"/>
        </w:rPr>
        <w:t>b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 - 2 σ</w:t>
      </w:r>
      <w:r w:rsidRPr="002B5E32">
        <w:rPr>
          <w:rFonts w:ascii="Arial" w:hAnsi="Arial" w:cs="Arial"/>
          <w:sz w:val="24"/>
          <w:szCs w:val="24"/>
          <w:vertAlign w:val="subscript"/>
        </w:rPr>
        <w:t>a</w:t>
      </w:r>
      <w:r w:rsidRPr="002B5E32">
        <w:rPr>
          <w:rFonts w:ascii="Arial" w:hAnsi="Arial" w:cs="Arial"/>
          <w:sz w:val="24"/>
          <w:szCs w:val="24"/>
          <w:vertAlign w:val="superscript"/>
        </w:rPr>
        <w:t>2</w:t>
      </w:r>
      <w:r w:rsidRPr="002B5E32">
        <w:rPr>
          <w:rFonts w:ascii="Arial" w:hAnsi="Arial" w:cs="Arial"/>
          <w:sz w:val="24"/>
          <w:szCs w:val="24"/>
        </w:rPr>
        <w:t xml:space="preserve"> / </w:t>
      </w:r>
      <w:r w:rsidRPr="002B5E32">
        <w:rPr>
          <w:rFonts w:ascii="Arial" w:hAnsi="Arial" w:cs="Arial"/>
          <w:i/>
          <w:iCs/>
          <w:sz w:val="24"/>
          <w:szCs w:val="24"/>
        </w:rPr>
        <w:t>ab</w:t>
      </w:r>
      <w:r w:rsidRPr="002B5E32">
        <w:rPr>
          <w:rFonts w:ascii="Arial" w:hAnsi="Arial" w:cs="Arial"/>
          <w:sz w:val="24"/>
          <w:szCs w:val="24"/>
        </w:rPr>
        <w:t xml:space="preserve"> }         </w:t>
      </w:r>
    </w:p>
    <w:p w14:paraId="5E6CA4C9" w14:textId="77777777" w:rsidR="004D07E2" w:rsidRDefault="004D07E2" w:rsidP="00747E74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Applying all three equations for calculating the aluminum mole fraction x from the growth rate data, I obtain: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2070"/>
        <w:gridCol w:w="1890"/>
      </w:tblGrid>
      <w:tr w:rsidR="004D07E2" w14:paraId="38E38C86" w14:textId="77777777" w:rsidTr="000F18E7">
        <w:trPr>
          <w:jc w:val="center"/>
        </w:trPr>
        <w:tc>
          <w:tcPr>
            <w:tcW w:w="1795" w:type="dxa"/>
          </w:tcPr>
          <w:p w14:paraId="08FA9302" w14:textId="77777777" w:rsidR="004D07E2" w:rsidRDefault="004D07E2" w:rsidP="000F18E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Method</w:t>
            </w:r>
          </w:p>
        </w:tc>
        <w:tc>
          <w:tcPr>
            <w:tcW w:w="2070" w:type="dxa"/>
          </w:tcPr>
          <w:p w14:paraId="0FE65AFE" w14:textId="77777777" w:rsidR="004D07E2" w:rsidRDefault="004D07E2" w:rsidP="004D0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90" w:type="dxa"/>
          </w:tcPr>
          <w:p w14:paraId="133D7CA5" w14:textId="77777777" w:rsidR="004D07E2" w:rsidRDefault="004D07E2" w:rsidP="004D07E2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σ</w:t>
            </w:r>
          </w:p>
        </w:tc>
      </w:tr>
      <w:tr w:rsidR="004D07E2" w14:paraId="1CFB0339" w14:textId="77777777" w:rsidTr="000F18E7">
        <w:trPr>
          <w:jc w:val="center"/>
        </w:trPr>
        <w:tc>
          <w:tcPr>
            <w:tcW w:w="1795" w:type="dxa"/>
          </w:tcPr>
          <w:p w14:paraId="0C92CE91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a/b</w:t>
            </w:r>
          </w:p>
        </w:tc>
        <w:tc>
          <w:tcPr>
            <w:tcW w:w="2070" w:type="dxa"/>
          </w:tcPr>
          <w:p w14:paraId="770B5B00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0.2033</w:t>
            </w:r>
          </w:p>
        </w:tc>
        <w:tc>
          <w:tcPr>
            <w:tcW w:w="1890" w:type="dxa"/>
          </w:tcPr>
          <w:p w14:paraId="09AF1666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0.0015</w:t>
            </w:r>
          </w:p>
        </w:tc>
      </w:tr>
      <w:tr w:rsidR="004D07E2" w14:paraId="19E92689" w14:textId="77777777" w:rsidTr="000F18E7">
        <w:trPr>
          <w:jc w:val="center"/>
        </w:trPr>
        <w:tc>
          <w:tcPr>
            <w:tcW w:w="1795" w:type="dxa"/>
          </w:tcPr>
          <w:p w14:paraId="64B77613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(b-g)/b</w:t>
            </w:r>
          </w:p>
        </w:tc>
        <w:tc>
          <w:tcPr>
            <w:tcW w:w="2070" w:type="dxa"/>
          </w:tcPr>
          <w:p w14:paraId="6D39A4F8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0.2061</w:t>
            </w:r>
          </w:p>
        </w:tc>
        <w:tc>
          <w:tcPr>
            <w:tcW w:w="1890" w:type="dxa"/>
          </w:tcPr>
          <w:p w14:paraId="577AB7C7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0.0162</w:t>
            </w:r>
          </w:p>
        </w:tc>
      </w:tr>
      <w:tr w:rsidR="004D07E2" w14:paraId="06A53482" w14:textId="77777777" w:rsidTr="000F18E7">
        <w:trPr>
          <w:jc w:val="center"/>
        </w:trPr>
        <w:tc>
          <w:tcPr>
            <w:tcW w:w="1795" w:type="dxa"/>
          </w:tcPr>
          <w:p w14:paraId="2078160F" w14:textId="77777777" w:rsidR="004D07E2" w:rsidRPr="00B568D0" w:rsidRDefault="004D07E2" w:rsidP="000F18E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568D0">
              <w:rPr>
                <w:rFonts w:ascii="Arial" w:hAnsi="Arial" w:cs="Arial"/>
                <w:i/>
                <w:sz w:val="24"/>
                <w:szCs w:val="24"/>
              </w:rPr>
              <w:t>a/(</w:t>
            </w:r>
            <w:proofErr w:type="spellStart"/>
            <w:r w:rsidRPr="00B568D0">
              <w:rPr>
                <w:rFonts w:ascii="Arial" w:hAnsi="Arial" w:cs="Arial"/>
                <w:i/>
                <w:sz w:val="24"/>
                <w:szCs w:val="24"/>
              </w:rPr>
              <w:t>a+g</w:t>
            </w:r>
            <w:proofErr w:type="spellEnd"/>
            <w:r w:rsidRPr="00B568D0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14:paraId="39F31172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0.2039</w:t>
            </w:r>
          </w:p>
        </w:tc>
        <w:tc>
          <w:tcPr>
            <w:tcW w:w="1890" w:type="dxa"/>
          </w:tcPr>
          <w:p w14:paraId="3CF10DA5" w14:textId="77777777" w:rsidR="004D07E2" w:rsidRPr="004D07E2" w:rsidRDefault="004D07E2" w:rsidP="000F18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07E2">
              <w:rPr>
                <w:rFonts w:ascii="Arial" w:hAnsi="Arial" w:cs="Arial"/>
                <w:sz w:val="24"/>
                <w:szCs w:val="24"/>
              </w:rPr>
              <w:t>0.0031</w:t>
            </w:r>
          </w:p>
        </w:tc>
      </w:tr>
    </w:tbl>
    <w:p w14:paraId="0ADC103C" w14:textId="77777777" w:rsidR="004D07E2" w:rsidRPr="002B5E32" w:rsidRDefault="004D07E2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37677955" w14:textId="4EF3E64E" w:rsidR="00762722" w:rsidRPr="002B5E32" w:rsidRDefault="004D07E2" w:rsidP="00F278FC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three values agree to within their experimental uncertainty.  The value with the lowest uncertainty is the method in the first row, hence the best estimated value for </w:t>
      </w:r>
      <w:r w:rsidRPr="00B568D0">
        <w:rPr>
          <w:rFonts w:ascii="Arial" w:hAnsi="Arial" w:cs="Arial"/>
          <w:i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is 0.2033 with </w:t>
      </w:r>
      <w:r w:rsidR="00B568D0">
        <w:rPr>
          <w:rFonts w:ascii="Arial" w:hAnsi="Arial" w:cs="Arial"/>
          <w:sz w:val="24"/>
          <w:szCs w:val="24"/>
        </w:rPr>
        <w:t>standard</w:t>
      </w:r>
      <w:r>
        <w:rPr>
          <w:rFonts w:ascii="Arial" w:hAnsi="Arial" w:cs="Arial"/>
          <w:sz w:val="24"/>
          <w:szCs w:val="24"/>
        </w:rPr>
        <w:t xml:space="preserve"> uncertainty of 0.0015, or 0.7% of the mole fraction value.  </w:t>
      </w:r>
    </w:p>
    <w:p w14:paraId="17A679D0" w14:textId="77777777" w:rsidR="00762722" w:rsidRPr="002B5E32" w:rsidRDefault="00762722" w:rsidP="00762722">
      <w:pPr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</w:p>
    <w:p w14:paraId="689BE26C" w14:textId="77777777" w:rsidR="00F278FC" w:rsidRPr="002B5E32" w:rsidRDefault="00F278FC" w:rsidP="00F278FC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3F4A3C79" w14:textId="77777777" w:rsidR="00A75584" w:rsidRPr="002B5E32" w:rsidRDefault="00A75584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Provide a table of uncertainty analysis that summarizes the above steps.  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1980"/>
        <w:gridCol w:w="3420"/>
      </w:tblGrid>
      <w:tr w:rsidR="00B014AD" w:rsidRPr="002B5E32" w14:paraId="1AD4C84D" w14:textId="77777777" w:rsidTr="000F18E7">
        <w:trPr>
          <w:cantSplit/>
          <w:jc w:val="center"/>
        </w:trPr>
        <w:tc>
          <w:tcPr>
            <w:tcW w:w="2605" w:type="dxa"/>
          </w:tcPr>
          <w:p w14:paraId="1DFED5BC" w14:textId="77777777" w:rsidR="00B014AD" w:rsidRPr="002B5E32" w:rsidRDefault="00B014AD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Factor</w:t>
            </w:r>
          </w:p>
        </w:tc>
        <w:tc>
          <w:tcPr>
            <w:tcW w:w="1980" w:type="dxa"/>
          </w:tcPr>
          <w:p w14:paraId="545A56BA" w14:textId="77777777" w:rsidR="00B014AD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Uncertainty</w:t>
            </w:r>
          </w:p>
        </w:tc>
        <w:tc>
          <w:tcPr>
            <w:tcW w:w="3420" w:type="dxa"/>
          </w:tcPr>
          <w:p w14:paraId="28BDF7B6" w14:textId="77777777" w:rsidR="00B014AD" w:rsidRPr="002B5E32" w:rsidRDefault="00B014AD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</w:tr>
      <w:tr w:rsidR="00762722" w:rsidRPr="002B5E32" w14:paraId="0AE228EA" w14:textId="77777777" w:rsidTr="000F18E7">
        <w:trPr>
          <w:cantSplit/>
          <w:trHeight w:val="683"/>
          <w:jc w:val="center"/>
        </w:trPr>
        <w:tc>
          <w:tcPr>
            <w:tcW w:w="2605" w:type="dxa"/>
          </w:tcPr>
          <w:p w14:paraId="7014FAE0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Overall uncertainty</w:t>
            </w:r>
          </w:p>
        </w:tc>
        <w:tc>
          <w:tcPr>
            <w:tcW w:w="1980" w:type="dxa"/>
          </w:tcPr>
          <w:p w14:paraId="6FE95976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0.0018</w:t>
            </w:r>
            <w:r w:rsidR="00762722"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6619E7E5" w14:textId="77777777" w:rsidR="00762722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Nonzero errors added in quadrature</w:t>
            </w:r>
          </w:p>
        </w:tc>
      </w:tr>
      <w:tr w:rsidR="00762722" w:rsidRPr="002B5E32" w14:paraId="05198438" w14:textId="77777777" w:rsidTr="000F18E7">
        <w:trPr>
          <w:cantSplit/>
          <w:trHeight w:val="665"/>
          <w:jc w:val="center"/>
        </w:trPr>
        <w:tc>
          <w:tcPr>
            <w:tcW w:w="2605" w:type="dxa"/>
          </w:tcPr>
          <w:p w14:paraId="214861FD" w14:textId="77777777" w:rsidR="00762722" w:rsidRPr="002B5E32" w:rsidRDefault="00593276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Growth rate measurement </w:t>
            </w:r>
          </w:p>
        </w:tc>
        <w:tc>
          <w:tcPr>
            <w:tcW w:w="1980" w:type="dxa"/>
          </w:tcPr>
          <w:p w14:paraId="70E3FD99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0.0015</w:t>
            </w:r>
          </w:p>
        </w:tc>
        <w:tc>
          <w:tcPr>
            <w:tcW w:w="3420" w:type="dxa"/>
          </w:tcPr>
          <w:p w14:paraId="7584DCDA" w14:textId="560BCB17" w:rsidR="00762722" w:rsidRPr="002B5E32" w:rsidRDefault="00B568D0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error</w:t>
            </w:r>
          </w:p>
        </w:tc>
      </w:tr>
      <w:tr w:rsidR="004D07E2" w:rsidRPr="002B5E32" w14:paraId="2857E4B7" w14:textId="77777777" w:rsidTr="000F18E7">
        <w:trPr>
          <w:jc w:val="center"/>
        </w:trPr>
        <w:tc>
          <w:tcPr>
            <w:tcW w:w="2605" w:type="dxa"/>
          </w:tcPr>
          <w:p w14:paraId="3EF216E9" w14:textId="77777777" w:rsidR="004D07E2" w:rsidRPr="002B5E32" w:rsidRDefault="004D07E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Electron beam within 1mm of center</w:t>
            </w:r>
          </w:p>
        </w:tc>
        <w:tc>
          <w:tcPr>
            <w:tcW w:w="1980" w:type="dxa"/>
          </w:tcPr>
          <w:p w14:paraId="6865B5D2" w14:textId="77777777" w:rsidR="004D07E2" w:rsidRPr="002B5E32" w:rsidRDefault="004D07E2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0.</w:t>
            </w:r>
            <w:r w:rsidR="000F18E7">
              <w:rPr>
                <w:rFonts w:ascii="Arial" w:hAnsi="Arial" w:cs="Arial"/>
                <w:sz w:val="24"/>
                <w:szCs w:val="24"/>
              </w:rPr>
              <w:t>001</w:t>
            </w:r>
            <w:r w:rsidRPr="002B5E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0FD1694" w14:textId="77777777" w:rsidR="004D07E2" w:rsidRPr="002B5E32" w:rsidRDefault="004D07E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Depends on flux spatial distribution</w:t>
            </w:r>
          </w:p>
        </w:tc>
      </w:tr>
      <w:tr w:rsidR="000F18E7" w:rsidRPr="002B5E32" w14:paraId="2580EC41" w14:textId="77777777" w:rsidTr="000F18E7">
        <w:trPr>
          <w:jc w:val="center"/>
        </w:trPr>
        <w:tc>
          <w:tcPr>
            <w:tcW w:w="2605" w:type="dxa"/>
          </w:tcPr>
          <w:p w14:paraId="4EEDF5C1" w14:textId="77777777" w:rsidR="000F18E7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Flux transients</w:t>
            </w:r>
          </w:p>
        </w:tc>
        <w:tc>
          <w:tcPr>
            <w:tcW w:w="1980" w:type="dxa"/>
          </w:tcPr>
          <w:p w14:paraId="19F9CC93" w14:textId="77777777" w:rsidR="000F18E7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1F29E69E" w14:textId="77777777" w:rsidR="000F18E7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Restrict analysis to long times  </w:t>
            </w:r>
          </w:p>
        </w:tc>
      </w:tr>
      <w:tr w:rsidR="00762722" w:rsidRPr="002B5E32" w14:paraId="02B601BD" w14:textId="77777777" w:rsidTr="000F18E7">
        <w:trPr>
          <w:jc w:val="center"/>
        </w:trPr>
        <w:tc>
          <w:tcPr>
            <w:tcW w:w="2605" w:type="dxa"/>
          </w:tcPr>
          <w:p w14:paraId="5DF43D92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Temperature</w:t>
            </w:r>
          </w:p>
        </w:tc>
        <w:tc>
          <w:tcPr>
            <w:tcW w:w="1980" w:type="dxa"/>
          </w:tcPr>
          <w:p w14:paraId="7DEB0092" w14:textId="77777777" w:rsidR="00762722" w:rsidRPr="002B5E32" w:rsidRDefault="000F18E7" w:rsidP="000F18E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3B81EEE1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595 to 622 °C</w:t>
            </w:r>
          </w:p>
        </w:tc>
      </w:tr>
      <w:tr w:rsidR="00762722" w:rsidRPr="002B5E32" w14:paraId="775242C0" w14:textId="77777777" w:rsidTr="000F18E7">
        <w:trPr>
          <w:trHeight w:val="620"/>
          <w:jc w:val="center"/>
        </w:trPr>
        <w:tc>
          <w:tcPr>
            <w:tcW w:w="2605" w:type="dxa"/>
          </w:tcPr>
          <w:p w14:paraId="1B6D5487" w14:textId="77777777" w:rsidR="00593276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 xml:space="preserve">Reconstruction </w:t>
            </w:r>
          </w:p>
          <w:p w14:paraId="4C50809B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(2x vs. 4x)</w:t>
            </w:r>
          </w:p>
        </w:tc>
        <w:tc>
          <w:tcPr>
            <w:tcW w:w="1980" w:type="dxa"/>
          </w:tcPr>
          <w:p w14:paraId="4762A8AE" w14:textId="77777777" w:rsidR="00762722" w:rsidRPr="002B5E32" w:rsidRDefault="000F18E7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contribution</w:t>
            </w:r>
          </w:p>
        </w:tc>
        <w:tc>
          <w:tcPr>
            <w:tcW w:w="3420" w:type="dxa"/>
          </w:tcPr>
          <w:p w14:paraId="2EEDE40B" w14:textId="77777777" w:rsidR="00762722" w:rsidRPr="002B5E32" w:rsidRDefault="00762722" w:rsidP="0059327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5E32">
              <w:rPr>
                <w:rFonts w:ascii="Arial" w:hAnsi="Arial" w:cs="Arial"/>
                <w:sz w:val="24"/>
                <w:szCs w:val="24"/>
              </w:rPr>
              <w:t>Assumes beam on same spot after substrate rotation</w:t>
            </w:r>
          </w:p>
        </w:tc>
      </w:tr>
    </w:tbl>
    <w:p w14:paraId="29D7A7E7" w14:textId="77777777" w:rsidR="00B014AD" w:rsidRPr="002B5E32" w:rsidRDefault="00B014AD" w:rsidP="00B014AD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510EFA" w14:textId="77777777" w:rsidR="002A0343" w:rsidRPr="002B5E32" w:rsidRDefault="002A0343" w:rsidP="00F278FC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 xml:space="preserve">If applicable, attach a paper or thesis chapter that provides further information. </w:t>
      </w:r>
      <w:r w:rsidR="0070272F">
        <w:rPr>
          <w:rFonts w:ascii="Arial" w:hAnsi="Arial" w:cs="Arial"/>
          <w:sz w:val="24"/>
          <w:szCs w:val="24"/>
        </w:rPr>
        <w:t>[The pdf on the next page in this example was inserted using the Insert | Text | Object command with word, using the Create from File option.  The full file can be seen by double-clicking on the rectangle that appears when clicking on the first page.]</w:t>
      </w:r>
    </w:p>
    <w:p w14:paraId="2DB8604B" w14:textId="77777777" w:rsidR="006B24E6" w:rsidRPr="002B5E32" w:rsidRDefault="00135F94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B5E32">
        <w:rPr>
          <w:rFonts w:ascii="Arial" w:hAnsi="Arial" w:cs="Arial"/>
          <w:sz w:val="24"/>
          <w:szCs w:val="24"/>
        </w:rPr>
        <w:tab/>
      </w:r>
    </w:p>
    <w:p w14:paraId="1552DE10" w14:textId="77777777" w:rsidR="006B24E6" w:rsidRPr="002B5E32" w:rsidRDefault="0070272F" w:rsidP="00F278F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8160" w:dyaOrig="11130" w14:anchorId="73669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35pt;height:556.4pt" o:ole="">
            <v:imagedata r:id="rId5" o:title=""/>
          </v:shape>
          <o:OLEObject Type="Embed" ProgID="Acrobat.Document.11" ShapeID="_x0000_i1025" DrawAspect="Content" ObjectID="_1640780601" r:id="rId6"/>
        </w:object>
      </w:r>
    </w:p>
    <w:p w14:paraId="271DC3DC" w14:textId="77777777" w:rsidR="006B24E6" w:rsidRPr="002B5E32" w:rsidRDefault="006B24E6" w:rsidP="00F278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EFA3AB" w14:textId="77777777" w:rsidR="006B24E6" w:rsidRPr="002B5E32" w:rsidRDefault="006B24E6">
      <w:pPr>
        <w:rPr>
          <w:rFonts w:ascii="Arial" w:hAnsi="Arial" w:cs="Arial"/>
          <w:sz w:val="24"/>
          <w:szCs w:val="24"/>
        </w:rPr>
      </w:pPr>
    </w:p>
    <w:sectPr w:rsidR="006B24E6" w:rsidRPr="002B5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26F65"/>
    <w:multiLevelType w:val="hybridMultilevel"/>
    <w:tmpl w:val="4E7C4634"/>
    <w:lvl w:ilvl="0" w:tplc="D95A0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67B63"/>
    <w:multiLevelType w:val="hybridMultilevel"/>
    <w:tmpl w:val="EB70D79C"/>
    <w:lvl w:ilvl="0" w:tplc="E2546F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6064D"/>
    <w:multiLevelType w:val="hybridMultilevel"/>
    <w:tmpl w:val="80E0B514"/>
    <w:lvl w:ilvl="0" w:tplc="F4B69A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21"/>
    <w:rsid w:val="000F18E7"/>
    <w:rsid w:val="00135F94"/>
    <w:rsid w:val="002042F4"/>
    <w:rsid w:val="00224981"/>
    <w:rsid w:val="002A0343"/>
    <w:rsid w:val="002B5E32"/>
    <w:rsid w:val="00303EF9"/>
    <w:rsid w:val="0031503E"/>
    <w:rsid w:val="003951C2"/>
    <w:rsid w:val="003C7F7B"/>
    <w:rsid w:val="0040210B"/>
    <w:rsid w:val="00427C21"/>
    <w:rsid w:val="004827D3"/>
    <w:rsid w:val="004C44D1"/>
    <w:rsid w:val="004D07E2"/>
    <w:rsid w:val="004F685C"/>
    <w:rsid w:val="00593276"/>
    <w:rsid w:val="005E5DC0"/>
    <w:rsid w:val="006B24E6"/>
    <w:rsid w:val="006D02E0"/>
    <w:rsid w:val="0070272F"/>
    <w:rsid w:val="00747E74"/>
    <w:rsid w:val="00762722"/>
    <w:rsid w:val="00811420"/>
    <w:rsid w:val="0086200B"/>
    <w:rsid w:val="008955A0"/>
    <w:rsid w:val="008A3BAC"/>
    <w:rsid w:val="008B2B6C"/>
    <w:rsid w:val="008E59D2"/>
    <w:rsid w:val="00960B8F"/>
    <w:rsid w:val="0097594E"/>
    <w:rsid w:val="00994BFF"/>
    <w:rsid w:val="009C1F1E"/>
    <w:rsid w:val="00A75584"/>
    <w:rsid w:val="00AC0A01"/>
    <w:rsid w:val="00B014AD"/>
    <w:rsid w:val="00B372FD"/>
    <w:rsid w:val="00B568D0"/>
    <w:rsid w:val="00BF1ECB"/>
    <w:rsid w:val="00C53E0D"/>
    <w:rsid w:val="00CA5E57"/>
    <w:rsid w:val="00D22772"/>
    <w:rsid w:val="00D52142"/>
    <w:rsid w:val="00D9145D"/>
    <w:rsid w:val="00DB2C91"/>
    <w:rsid w:val="00DF02C6"/>
    <w:rsid w:val="00DF065B"/>
    <w:rsid w:val="00E02A9C"/>
    <w:rsid w:val="00E9692A"/>
    <w:rsid w:val="00EF45B8"/>
    <w:rsid w:val="00F16BCB"/>
    <w:rsid w:val="00F278FC"/>
    <w:rsid w:val="00F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47C1F7"/>
  <w15:docId w15:val="{F3E97ECD-8753-43A1-A1D4-581306D5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24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5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0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2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2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Bertness, Kris A.</dc:creator>
  <cp:lastModifiedBy>Brooke Baker</cp:lastModifiedBy>
  <cp:revision>2</cp:revision>
  <dcterms:created xsi:type="dcterms:W3CDTF">2020-01-17T20:37:00Z</dcterms:created>
  <dcterms:modified xsi:type="dcterms:W3CDTF">2020-01-17T20:37:00Z</dcterms:modified>
</cp:coreProperties>
</file>